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14B" w:rsidRPr="00455C4E" w:rsidRDefault="00B61DAC" w:rsidP="003E114B">
      <w:pPr>
        <w:pStyle w:val="Title"/>
        <w:spacing w:line="276" w:lineRule="auto"/>
        <w:rPr>
          <w:rFonts w:ascii="VPBank" w:hAnsi="VPBank" w:cs="Arial"/>
          <w:b/>
          <w:noProof/>
          <w:sz w:val="32"/>
          <w:szCs w:val="22"/>
        </w:rPr>
      </w:pPr>
      <w:r w:rsidRPr="00455C4E">
        <w:rPr>
          <w:rFonts w:ascii="VPBank" w:hAnsi="VPBank" w:cs="Arial"/>
          <w:b/>
          <w:noProof/>
          <w:sz w:val="32"/>
          <w:szCs w:val="22"/>
        </w:rPr>
        <w:t>FUND MOBILIZATION PRODUCTS OF VPB FC</w:t>
      </w:r>
    </w:p>
    <w:p w:rsidR="00E46826" w:rsidRPr="0083523A" w:rsidRDefault="00E46826" w:rsidP="003E114B">
      <w:pPr>
        <w:autoSpaceDE w:val="0"/>
        <w:autoSpaceDN w:val="0"/>
        <w:adjustRightInd w:val="0"/>
        <w:jc w:val="both"/>
        <w:rPr>
          <w:rFonts w:ascii="VPBank" w:hAnsi="VPBank" w:cs="Arial"/>
          <w:noProof/>
          <w:color w:val="000000"/>
          <w:lang w:val="en-US"/>
        </w:rPr>
      </w:pPr>
    </w:p>
    <w:p w:rsidR="00E46826" w:rsidRDefault="003E114B" w:rsidP="00E46826">
      <w:pPr>
        <w:rPr>
          <w:rFonts w:ascii="VPBank" w:hAnsi="VPBank" w:cs="Arial"/>
          <w:i/>
          <w:noProof/>
          <w:color w:val="000000"/>
          <w:lang w:val="x-none"/>
        </w:rPr>
      </w:pPr>
      <w:r w:rsidRPr="0083523A">
        <w:rPr>
          <w:rFonts w:ascii="VPBank" w:hAnsi="VPBank" w:cs="Arial"/>
          <w:i/>
          <w:noProof/>
          <w:color w:val="000000"/>
          <w:lang w:val="x-none"/>
        </w:rPr>
        <w:t>VPBank Finance Company Limited – VPB FC (FE CREDIT Brand)</w:t>
      </w:r>
      <w:r w:rsidR="00E46826" w:rsidRPr="0083523A">
        <w:rPr>
          <w:rFonts w:ascii="VPBank" w:hAnsi="VPBank"/>
        </w:rPr>
        <w:t xml:space="preserve"> </w:t>
      </w:r>
      <w:r w:rsidR="00E46826" w:rsidRPr="0083523A">
        <w:rPr>
          <w:rFonts w:ascii="VPBank" w:hAnsi="VPBank" w:cs="Arial"/>
          <w:i/>
          <w:noProof/>
          <w:color w:val="000000"/>
          <w:lang w:val="x-none"/>
        </w:rPr>
        <w:t xml:space="preserve">mobilizes fund by issuing </w:t>
      </w:r>
      <w:r w:rsidR="00E46826" w:rsidRPr="0083523A">
        <w:rPr>
          <w:rFonts w:ascii="VPBank" w:hAnsi="VPBank"/>
          <w:b/>
          <w:i/>
        </w:rPr>
        <w:t>Certificate of Deposit (CSs</w:t>
      </w:r>
      <w:r w:rsidR="00E46826" w:rsidRPr="0083523A">
        <w:rPr>
          <w:rFonts w:ascii="VPBank" w:hAnsi="VPBank"/>
          <w:i/>
        </w:rPr>
        <w:t xml:space="preserve">) and </w:t>
      </w:r>
      <w:r w:rsidR="00E46826" w:rsidRPr="0083523A">
        <w:rPr>
          <w:rFonts w:ascii="VPBank" w:hAnsi="VPBank"/>
          <w:b/>
          <w:i/>
        </w:rPr>
        <w:t>Term Deposit (TD)</w:t>
      </w:r>
      <w:r w:rsidR="0083523A" w:rsidRPr="0083523A">
        <w:rPr>
          <w:rFonts w:ascii="VPBank" w:hAnsi="VPBank"/>
          <w:i/>
        </w:rPr>
        <w:t>,</w:t>
      </w:r>
      <w:r w:rsidR="0083523A" w:rsidRPr="0083523A">
        <w:rPr>
          <w:rFonts w:ascii="VPBank" w:hAnsi="VPBank"/>
          <w:b/>
          <w:i/>
        </w:rPr>
        <w:t xml:space="preserve"> </w:t>
      </w:r>
      <w:r w:rsidR="0083523A" w:rsidRPr="0083523A">
        <w:rPr>
          <w:rFonts w:ascii="VPBank" w:hAnsi="VPBank"/>
          <w:i/>
        </w:rPr>
        <w:t>applying for</w:t>
      </w:r>
      <w:r w:rsidR="0083523A" w:rsidRPr="0083523A">
        <w:rPr>
          <w:rFonts w:ascii="VPBank" w:hAnsi="VPBank"/>
          <w:b/>
          <w:i/>
        </w:rPr>
        <w:t xml:space="preserve"> Vietnamese Organizations and International Organizations</w:t>
      </w:r>
      <w:r w:rsidR="00E46826" w:rsidRPr="0083523A">
        <w:rPr>
          <w:rFonts w:ascii="VPBank" w:hAnsi="VPBank"/>
          <w:b/>
          <w:i/>
        </w:rPr>
        <w:t xml:space="preserve"> </w:t>
      </w:r>
      <w:r w:rsidR="00B40AB3" w:rsidRPr="0083523A">
        <w:rPr>
          <w:rFonts w:ascii="VPBank" w:hAnsi="VPBank"/>
          <w:i/>
        </w:rPr>
        <w:t xml:space="preserve">with flexible </w:t>
      </w:r>
      <w:r w:rsidR="00E46826" w:rsidRPr="0083523A">
        <w:rPr>
          <w:rFonts w:ascii="VPBank" w:hAnsi="VPBank" w:cs="Arial"/>
          <w:i/>
          <w:noProof/>
          <w:color w:val="000000"/>
          <w:lang w:val="x-none"/>
        </w:rPr>
        <w:t>tenor and attractive interest rate</w:t>
      </w:r>
      <w:r w:rsidR="00B40AB3" w:rsidRPr="0083523A">
        <w:rPr>
          <w:rFonts w:ascii="VPBank" w:hAnsi="VPBank" w:cs="Arial"/>
          <w:i/>
          <w:noProof/>
          <w:color w:val="000000"/>
          <w:lang w:val="en-US"/>
        </w:rPr>
        <w:t>s</w:t>
      </w:r>
      <w:r w:rsidR="0083523A" w:rsidRPr="0083523A">
        <w:rPr>
          <w:rFonts w:ascii="VPBank" w:hAnsi="VPBank" w:cs="Arial"/>
          <w:i/>
          <w:noProof/>
          <w:color w:val="000000"/>
          <w:lang w:val="en-US"/>
        </w:rPr>
        <w:t xml:space="preserve"> as listed below</w:t>
      </w:r>
      <w:r w:rsidR="00E46826" w:rsidRPr="0083523A">
        <w:rPr>
          <w:rFonts w:ascii="VPBank" w:hAnsi="VPBank" w:cs="Arial"/>
          <w:i/>
          <w:noProof/>
          <w:color w:val="000000"/>
          <w:lang w:val="x-none"/>
        </w:rPr>
        <w:t>:</w:t>
      </w:r>
    </w:p>
    <w:tbl>
      <w:tblPr>
        <w:tblpPr w:leftFromText="180" w:rightFromText="180" w:vertAnchor="page" w:horzAnchor="margin" w:tblpY="3601"/>
        <w:tblW w:w="90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3"/>
        <w:gridCol w:w="4034"/>
      </w:tblGrid>
      <w:tr w:rsidR="00455C4E" w:rsidRPr="0083523A" w:rsidTr="00455C4E">
        <w:trPr>
          <w:trHeight w:val="114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E" w:rsidRPr="0083523A" w:rsidRDefault="00455C4E" w:rsidP="00455C4E">
            <w:pPr>
              <w:spacing w:after="120" w:line="288" w:lineRule="auto"/>
              <w:jc w:val="center"/>
              <w:rPr>
                <w:rFonts w:ascii="VPBank" w:hAnsi="VPBank"/>
                <w:b/>
                <w:bCs/>
                <w:i/>
              </w:rPr>
            </w:pPr>
            <w:r w:rsidRPr="0083523A">
              <w:rPr>
                <w:rFonts w:ascii="VPBank" w:hAnsi="VPBank"/>
                <w:b/>
                <w:bCs/>
                <w:i/>
              </w:rPr>
              <w:t>Tenor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E" w:rsidRPr="0083523A" w:rsidRDefault="00455C4E" w:rsidP="00455C4E">
            <w:pPr>
              <w:spacing w:after="120" w:line="288" w:lineRule="auto"/>
              <w:jc w:val="center"/>
              <w:rPr>
                <w:rFonts w:ascii="VPBank" w:hAnsi="VPBank"/>
                <w:b/>
                <w:bCs/>
                <w:i/>
              </w:rPr>
            </w:pPr>
            <w:r w:rsidRPr="0083523A">
              <w:rPr>
                <w:rFonts w:ascii="VPBank" w:hAnsi="VPBank"/>
                <w:b/>
                <w:bCs/>
                <w:i/>
              </w:rPr>
              <w:t xml:space="preserve">Interest rate (%/pa) </w:t>
            </w:r>
          </w:p>
          <w:p w:rsidR="00455C4E" w:rsidRPr="0083523A" w:rsidRDefault="00455C4E" w:rsidP="00455C4E">
            <w:pPr>
              <w:spacing w:after="120" w:line="288" w:lineRule="auto"/>
              <w:jc w:val="center"/>
              <w:rPr>
                <w:rFonts w:ascii="VPBank" w:hAnsi="VPBank"/>
                <w:b/>
                <w:bCs/>
              </w:rPr>
            </w:pPr>
            <w:r w:rsidRPr="0083523A">
              <w:rPr>
                <w:rFonts w:ascii="VPBank" w:hAnsi="VPBank"/>
                <w:b/>
                <w:bCs/>
                <w:i/>
              </w:rPr>
              <w:t>(interest paid at Maturity)</w:t>
            </w:r>
          </w:p>
        </w:tc>
      </w:tr>
      <w:tr w:rsidR="00455C4E" w:rsidRPr="0083523A" w:rsidTr="00455C4E">
        <w:trPr>
          <w:trHeight w:val="4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E" w:rsidRPr="0083523A" w:rsidRDefault="00455C4E" w:rsidP="00455C4E">
            <w:pPr>
              <w:spacing w:after="120" w:line="288" w:lineRule="auto"/>
              <w:jc w:val="center"/>
              <w:rPr>
                <w:rFonts w:ascii="VPBank" w:hAnsi="VPBank"/>
                <w:i/>
              </w:rPr>
            </w:pPr>
            <w:r w:rsidRPr="0083523A">
              <w:rPr>
                <w:rFonts w:ascii="VPBank" w:hAnsi="VPBank"/>
                <w:i/>
              </w:rPr>
              <w:t>Non term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E" w:rsidRPr="0083523A" w:rsidRDefault="00455C4E" w:rsidP="00455C4E">
            <w:pPr>
              <w:spacing w:after="120" w:line="288" w:lineRule="auto"/>
              <w:jc w:val="center"/>
              <w:rPr>
                <w:rFonts w:ascii="VPBank" w:hAnsi="VPBank"/>
              </w:rPr>
            </w:pPr>
            <w:r w:rsidRPr="0083523A">
              <w:rPr>
                <w:rFonts w:ascii="VPBank" w:hAnsi="VPBank"/>
              </w:rPr>
              <w:t>1.00</w:t>
            </w:r>
          </w:p>
        </w:tc>
      </w:tr>
      <w:tr w:rsidR="00455C4E" w:rsidRPr="0083523A" w:rsidTr="00455C4E">
        <w:trPr>
          <w:trHeight w:val="53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E" w:rsidRPr="0083523A" w:rsidRDefault="00455C4E" w:rsidP="00455C4E">
            <w:pPr>
              <w:spacing w:after="120" w:line="288" w:lineRule="auto"/>
              <w:jc w:val="center"/>
              <w:rPr>
                <w:rFonts w:ascii="VPBank" w:hAnsi="VPBank"/>
                <w:i/>
              </w:rPr>
            </w:pPr>
            <w:r w:rsidRPr="0083523A">
              <w:rPr>
                <w:rFonts w:ascii="VPBank" w:hAnsi="VPBank"/>
                <w:i/>
              </w:rPr>
              <w:t>From 01 month to below 03 months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E" w:rsidRPr="0083523A" w:rsidRDefault="00455C4E" w:rsidP="00455C4E">
            <w:pPr>
              <w:spacing w:after="120" w:line="288" w:lineRule="auto"/>
              <w:jc w:val="center"/>
              <w:rPr>
                <w:rFonts w:ascii="VPBank" w:hAnsi="VPBank"/>
              </w:rPr>
            </w:pPr>
            <w:r w:rsidRPr="0083523A">
              <w:rPr>
                <w:rFonts w:ascii="VPBank" w:hAnsi="VPBank"/>
              </w:rPr>
              <w:t>5.25</w:t>
            </w:r>
          </w:p>
        </w:tc>
      </w:tr>
      <w:tr w:rsidR="00455C4E" w:rsidRPr="0083523A" w:rsidTr="00455C4E">
        <w:trPr>
          <w:trHeight w:val="53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E" w:rsidRPr="0083523A" w:rsidRDefault="00455C4E" w:rsidP="00455C4E">
            <w:pPr>
              <w:spacing w:after="120" w:line="288" w:lineRule="auto"/>
              <w:jc w:val="center"/>
              <w:rPr>
                <w:rFonts w:ascii="VPBank" w:hAnsi="VPBank"/>
              </w:rPr>
            </w:pPr>
            <w:r w:rsidRPr="0083523A">
              <w:rPr>
                <w:rFonts w:ascii="VPBank" w:hAnsi="VPBank"/>
                <w:i/>
              </w:rPr>
              <w:t>From 03 month to below 06 months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E" w:rsidRPr="0083523A" w:rsidRDefault="00455C4E" w:rsidP="00455C4E">
            <w:pPr>
              <w:spacing w:after="120" w:line="288" w:lineRule="auto"/>
              <w:jc w:val="center"/>
              <w:rPr>
                <w:rFonts w:ascii="VPBank" w:hAnsi="VPBank"/>
              </w:rPr>
            </w:pPr>
            <w:r w:rsidRPr="0083523A">
              <w:rPr>
                <w:rFonts w:ascii="VPBank" w:hAnsi="VPBank"/>
              </w:rPr>
              <w:t>5.50</w:t>
            </w:r>
          </w:p>
        </w:tc>
      </w:tr>
      <w:tr w:rsidR="00455C4E" w:rsidRPr="0083523A" w:rsidTr="00455C4E">
        <w:trPr>
          <w:trHeight w:val="57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E" w:rsidRPr="0083523A" w:rsidRDefault="00455C4E" w:rsidP="00455C4E">
            <w:pPr>
              <w:spacing w:after="120" w:line="288" w:lineRule="auto"/>
              <w:jc w:val="center"/>
              <w:rPr>
                <w:rFonts w:ascii="VPBank" w:hAnsi="VPBank"/>
              </w:rPr>
            </w:pPr>
            <w:r w:rsidRPr="0083523A">
              <w:rPr>
                <w:rFonts w:ascii="VPBank" w:hAnsi="VPBank"/>
                <w:i/>
              </w:rPr>
              <w:t>From 06 month to below 09 months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E" w:rsidRPr="0083523A" w:rsidRDefault="00455C4E" w:rsidP="00455C4E">
            <w:pPr>
              <w:spacing w:after="120" w:line="288" w:lineRule="auto"/>
              <w:jc w:val="center"/>
              <w:rPr>
                <w:rFonts w:ascii="VPBank" w:hAnsi="VPBank"/>
              </w:rPr>
            </w:pPr>
            <w:r w:rsidRPr="0083523A">
              <w:rPr>
                <w:rFonts w:ascii="VPBank" w:hAnsi="VPBank"/>
              </w:rPr>
              <w:t>8.00</w:t>
            </w:r>
          </w:p>
        </w:tc>
      </w:tr>
      <w:tr w:rsidR="00455C4E" w:rsidRPr="0083523A" w:rsidTr="00455C4E">
        <w:trPr>
          <w:trHeight w:val="58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E" w:rsidRPr="0083523A" w:rsidRDefault="00455C4E" w:rsidP="00455C4E">
            <w:pPr>
              <w:spacing w:after="120" w:line="288" w:lineRule="auto"/>
              <w:jc w:val="center"/>
              <w:rPr>
                <w:rFonts w:ascii="VPBank" w:hAnsi="VPBank"/>
              </w:rPr>
            </w:pPr>
            <w:r w:rsidRPr="0083523A">
              <w:rPr>
                <w:rFonts w:ascii="VPBank" w:hAnsi="VPBank"/>
                <w:i/>
              </w:rPr>
              <w:t>From 09 month to below 12 months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E" w:rsidRPr="0083523A" w:rsidRDefault="00455C4E" w:rsidP="00455C4E">
            <w:pPr>
              <w:spacing w:after="120" w:line="288" w:lineRule="auto"/>
              <w:jc w:val="center"/>
              <w:rPr>
                <w:rFonts w:ascii="VPBank" w:hAnsi="VPBank"/>
              </w:rPr>
            </w:pPr>
            <w:r w:rsidRPr="0083523A">
              <w:rPr>
                <w:rFonts w:ascii="VPBank" w:hAnsi="VPBank"/>
              </w:rPr>
              <w:t>8.25</w:t>
            </w:r>
          </w:p>
        </w:tc>
      </w:tr>
      <w:tr w:rsidR="00455C4E" w:rsidRPr="0083523A" w:rsidTr="00455C4E">
        <w:trPr>
          <w:trHeight w:val="57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E" w:rsidRPr="0083523A" w:rsidRDefault="00455C4E" w:rsidP="00455C4E">
            <w:pPr>
              <w:spacing w:after="120" w:line="288" w:lineRule="auto"/>
              <w:jc w:val="center"/>
              <w:rPr>
                <w:rFonts w:ascii="VPBank" w:hAnsi="VPBank"/>
                <w:i/>
              </w:rPr>
            </w:pPr>
            <w:r w:rsidRPr="0083523A">
              <w:rPr>
                <w:rFonts w:ascii="VPBank" w:hAnsi="VPBank"/>
                <w:i/>
              </w:rPr>
              <w:t>12 months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E" w:rsidRPr="0083523A" w:rsidRDefault="00455C4E" w:rsidP="00455C4E">
            <w:pPr>
              <w:spacing w:after="120" w:line="288" w:lineRule="auto"/>
              <w:jc w:val="center"/>
              <w:rPr>
                <w:rFonts w:ascii="VPBank" w:hAnsi="VPBank"/>
              </w:rPr>
            </w:pPr>
            <w:r w:rsidRPr="0083523A">
              <w:rPr>
                <w:rFonts w:ascii="VPBank" w:hAnsi="VPBank"/>
              </w:rPr>
              <w:t>8.75</w:t>
            </w:r>
          </w:p>
        </w:tc>
      </w:tr>
      <w:tr w:rsidR="00455C4E" w:rsidRPr="0083523A" w:rsidTr="00455C4E">
        <w:trPr>
          <w:trHeight w:val="57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E" w:rsidRPr="0083523A" w:rsidRDefault="00455C4E" w:rsidP="00455C4E">
            <w:pPr>
              <w:spacing w:after="120" w:line="288" w:lineRule="auto"/>
              <w:jc w:val="center"/>
              <w:rPr>
                <w:rFonts w:ascii="VPBank" w:hAnsi="VPBank"/>
              </w:rPr>
            </w:pPr>
            <w:r w:rsidRPr="0083523A">
              <w:rPr>
                <w:rFonts w:ascii="VPBank" w:hAnsi="VPBank"/>
                <w:i/>
              </w:rPr>
              <w:t>From 12 month to below 15 months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E" w:rsidRPr="0083523A" w:rsidRDefault="00455C4E" w:rsidP="00455C4E">
            <w:pPr>
              <w:spacing w:after="120" w:line="288" w:lineRule="auto"/>
              <w:jc w:val="center"/>
              <w:rPr>
                <w:rFonts w:ascii="VPBank" w:hAnsi="VPBank"/>
              </w:rPr>
            </w:pPr>
            <w:r w:rsidRPr="0083523A">
              <w:rPr>
                <w:rFonts w:ascii="VPBank" w:hAnsi="VPBank"/>
              </w:rPr>
              <w:t>9.00</w:t>
            </w:r>
          </w:p>
        </w:tc>
      </w:tr>
      <w:tr w:rsidR="00455C4E" w:rsidRPr="0083523A" w:rsidTr="00455C4E">
        <w:trPr>
          <w:trHeight w:val="58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E" w:rsidRPr="0083523A" w:rsidRDefault="00455C4E" w:rsidP="00455C4E">
            <w:pPr>
              <w:spacing w:after="120" w:line="288" w:lineRule="auto"/>
              <w:jc w:val="center"/>
              <w:rPr>
                <w:rFonts w:ascii="VPBank" w:hAnsi="VPBank"/>
              </w:rPr>
            </w:pPr>
            <w:r w:rsidRPr="0083523A">
              <w:rPr>
                <w:rFonts w:ascii="VPBank" w:hAnsi="VPBank"/>
                <w:i/>
              </w:rPr>
              <w:t>From 15 month to below 18 months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E" w:rsidRPr="0083523A" w:rsidRDefault="00455C4E" w:rsidP="00455C4E">
            <w:pPr>
              <w:spacing w:after="120" w:line="288" w:lineRule="auto"/>
              <w:jc w:val="center"/>
              <w:rPr>
                <w:rFonts w:ascii="VPBank" w:hAnsi="VPBank"/>
              </w:rPr>
            </w:pPr>
            <w:r w:rsidRPr="0083523A">
              <w:rPr>
                <w:rFonts w:ascii="VPBank" w:hAnsi="VPBank"/>
              </w:rPr>
              <w:t>9.25</w:t>
            </w:r>
          </w:p>
        </w:tc>
      </w:tr>
      <w:tr w:rsidR="00455C4E" w:rsidRPr="0083523A" w:rsidTr="00455C4E">
        <w:trPr>
          <w:trHeight w:val="57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E" w:rsidRPr="0083523A" w:rsidRDefault="00455C4E" w:rsidP="00455C4E">
            <w:pPr>
              <w:spacing w:after="120" w:line="288" w:lineRule="auto"/>
              <w:jc w:val="center"/>
              <w:rPr>
                <w:rFonts w:ascii="VPBank" w:hAnsi="VPBank"/>
              </w:rPr>
            </w:pPr>
            <w:r w:rsidRPr="0083523A">
              <w:rPr>
                <w:rFonts w:ascii="VPBank" w:hAnsi="VPBank"/>
                <w:i/>
              </w:rPr>
              <w:t>From 18 month to below 24 months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E" w:rsidRPr="0083523A" w:rsidRDefault="00455C4E" w:rsidP="00455C4E">
            <w:pPr>
              <w:spacing w:after="120" w:line="288" w:lineRule="auto"/>
              <w:jc w:val="center"/>
              <w:rPr>
                <w:rFonts w:ascii="VPBank" w:hAnsi="VPBank"/>
              </w:rPr>
            </w:pPr>
            <w:r w:rsidRPr="0083523A">
              <w:rPr>
                <w:rFonts w:ascii="VPBank" w:hAnsi="VPBank"/>
              </w:rPr>
              <w:t>9.50</w:t>
            </w:r>
          </w:p>
        </w:tc>
      </w:tr>
      <w:tr w:rsidR="00455C4E" w:rsidRPr="0083523A" w:rsidTr="00455C4E">
        <w:trPr>
          <w:trHeight w:val="4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E" w:rsidRPr="0083523A" w:rsidRDefault="00455C4E" w:rsidP="00455C4E">
            <w:pPr>
              <w:spacing w:after="120" w:line="288" w:lineRule="auto"/>
              <w:jc w:val="center"/>
              <w:rPr>
                <w:rFonts w:ascii="VPBank" w:hAnsi="VPBank"/>
              </w:rPr>
            </w:pPr>
            <w:r>
              <w:rPr>
                <w:rFonts w:ascii="VPBank" w:hAnsi="VPBank"/>
                <w:i/>
              </w:rPr>
              <w:t>24</w:t>
            </w:r>
            <w:r w:rsidRPr="0083523A">
              <w:rPr>
                <w:rFonts w:ascii="VPBank" w:hAnsi="VPBank"/>
                <w:i/>
              </w:rPr>
              <w:t xml:space="preserve"> months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E" w:rsidRPr="0083523A" w:rsidRDefault="00455C4E" w:rsidP="00455C4E">
            <w:pPr>
              <w:spacing w:after="120" w:line="288" w:lineRule="auto"/>
              <w:jc w:val="center"/>
              <w:rPr>
                <w:rFonts w:ascii="VPBank" w:hAnsi="VPBank"/>
              </w:rPr>
            </w:pPr>
            <w:r w:rsidRPr="0083523A">
              <w:rPr>
                <w:rFonts w:ascii="VPBank" w:hAnsi="VPBank"/>
              </w:rPr>
              <w:t>10.00</w:t>
            </w:r>
          </w:p>
        </w:tc>
      </w:tr>
    </w:tbl>
    <w:p w:rsidR="00455C4E" w:rsidRPr="0083523A" w:rsidRDefault="00455C4E" w:rsidP="00E46826">
      <w:pPr>
        <w:rPr>
          <w:rFonts w:ascii="VPBank" w:hAnsi="VPBank" w:cs="Arial"/>
          <w:i/>
          <w:noProof/>
          <w:color w:val="000000"/>
          <w:lang w:val="x-none"/>
        </w:rPr>
      </w:pPr>
    </w:p>
    <w:p w:rsidR="00374A9D" w:rsidRDefault="007D7413" w:rsidP="003E114B">
      <w:pPr>
        <w:autoSpaceDE w:val="0"/>
        <w:autoSpaceDN w:val="0"/>
        <w:adjustRightInd w:val="0"/>
        <w:jc w:val="both"/>
        <w:rPr>
          <w:rFonts w:ascii="VPBank" w:hAnsi="VPBank"/>
        </w:rPr>
      </w:pPr>
      <w:r w:rsidRPr="007D7413">
        <w:rPr>
          <w:rFonts w:ascii="VPBank" w:hAnsi="VPBank"/>
          <w:noProof/>
          <w:lang w:eastAsia="en-GB"/>
        </w:rPr>
        <w:drawing>
          <wp:inline distT="0" distB="0" distL="0" distR="0">
            <wp:extent cx="5731510" cy="2692510"/>
            <wp:effectExtent l="0" t="0" r="2540" b="0"/>
            <wp:docPr id="60" name="Picture 60" descr="U:\201706_Funding_Understand Your Risk Profile\Hinh minh hoa bao_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:\201706_Funding_Understand Your Risk Profile\Hinh minh hoa bao_E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9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413" w:rsidRDefault="007D7413" w:rsidP="003E114B">
      <w:pPr>
        <w:autoSpaceDE w:val="0"/>
        <w:autoSpaceDN w:val="0"/>
        <w:adjustRightInd w:val="0"/>
        <w:jc w:val="both"/>
        <w:rPr>
          <w:rFonts w:ascii="VPBank" w:hAnsi="VPBank"/>
        </w:rPr>
      </w:pPr>
    </w:p>
    <w:p w:rsidR="005911D9" w:rsidRDefault="005911D9" w:rsidP="003E114B">
      <w:pPr>
        <w:autoSpaceDE w:val="0"/>
        <w:autoSpaceDN w:val="0"/>
        <w:adjustRightInd w:val="0"/>
        <w:jc w:val="both"/>
        <w:rPr>
          <w:rFonts w:ascii="VPBank" w:hAnsi="VPBank"/>
        </w:rPr>
      </w:pPr>
    </w:p>
    <w:p w:rsidR="00374A9D" w:rsidRPr="00455C4E" w:rsidRDefault="00374A9D" w:rsidP="00374A9D">
      <w:pPr>
        <w:autoSpaceDE w:val="0"/>
        <w:autoSpaceDN w:val="0"/>
        <w:adjustRightInd w:val="0"/>
        <w:jc w:val="both"/>
        <w:rPr>
          <w:rFonts w:ascii="VPBank" w:hAnsi="VPBank"/>
          <w:b/>
          <w:u w:val="single"/>
        </w:rPr>
      </w:pPr>
      <w:r w:rsidRPr="00455C4E">
        <w:rPr>
          <w:rFonts w:ascii="VPBank" w:hAnsi="VPBank"/>
          <w:b/>
          <w:u w:val="single"/>
        </w:rPr>
        <w:lastRenderedPageBreak/>
        <w:t>For more information, please contact:</w:t>
      </w:r>
    </w:p>
    <w:p w:rsidR="00374A9D" w:rsidRDefault="00374A9D" w:rsidP="00374A9D">
      <w:pPr>
        <w:autoSpaceDE w:val="0"/>
        <w:autoSpaceDN w:val="0"/>
        <w:adjustRightInd w:val="0"/>
        <w:jc w:val="both"/>
        <w:rPr>
          <w:rFonts w:ascii="VPBank" w:hAnsi="VPBank"/>
        </w:rPr>
      </w:pPr>
    </w:p>
    <w:p w:rsidR="00455C4E" w:rsidRDefault="00455C4E" w:rsidP="00374A9D">
      <w:pPr>
        <w:autoSpaceDE w:val="0"/>
        <w:autoSpaceDN w:val="0"/>
        <w:adjustRightInd w:val="0"/>
        <w:jc w:val="both"/>
        <w:rPr>
          <w:rFonts w:ascii="VPBank" w:hAnsi="VPBank"/>
        </w:rPr>
      </w:pPr>
      <w:proofErr w:type="spellStart"/>
      <w:r w:rsidRPr="00455C4E">
        <w:rPr>
          <w:rFonts w:ascii="VPBank" w:hAnsi="VPBank"/>
        </w:rPr>
        <w:t>VPBank</w:t>
      </w:r>
      <w:proofErr w:type="spellEnd"/>
      <w:r w:rsidRPr="00455C4E">
        <w:rPr>
          <w:rFonts w:ascii="VPBank" w:hAnsi="VPBank"/>
        </w:rPr>
        <w:t xml:space="preserve"> Finance Company Limited – VPB FC (FE CREDIT Brand) </w:t>
      </w:r>
    </w:p>
    <w:p w:rsidR="004E0ED4" w:rsidRDefault="004E0ED4" w:rsidP="00374A9D">
      <w:pPr>
        <w:autoSpaceDE w:val="0"/>
        <w:autoSpaceDN w:val="0"/>
        <w:adjustRightInd w:val="0"/>
        <w:jc w:val="both"/>
        <w:rPr>
          <w:rFonts w:ascii="VPBank" w:hAnsi="VPBank"/>
        </w:rPr>
      </w:pPr>
      <w:r>
        <w:rPr>
          <w:rFonts w:ascii="VPBank" w:hAnsi="VPBank"/>
        </w:rPr>
        <w:t>Treasury Center</w:t>
      </w:r>
    </w:p>
    <w:p w:rsidR="00374A9D" w:rsidRDefault="00374A9D" w:rsidP="00374A9D">
      <w:pPr>
        <w:autoSpaceDE w:val="0"/>
        <w:autoSpaceDN w:val="0"/>
        <w:adjustRightInd w:val="0"/>
        <w:jc w:val="both"/>
        <w:rPr>
          <w:rFonts w:ascii="VPBank" w:hAnsi="VPBank"/>
        </w:rPr>
      </w:pPr>
      <w:r>
        <w:rPr>
          <w:rFonts w:ascii="VPBank" w:hAnsi="VPBank"/>
        </w:rPr>
        <w:t>Address:</w:t>
      </w:r>
      <w:r w:rsidRPr="00374A9D">
        <w:rPr>
          <w:rFonts w:ascii="VPBank" w:hAnsi="VPBank"/>
        </w:rPr>
        <w:t xml:space="preserve"> 15</w:t>
      </w:r>
      <w:r w:rsidR="00455C4E" w:rsidRPr="00455C4E">
        <w:rPr>
          <w:rFonts w:ascii="VPBank" w:hAnsi="VPBank"/>
          <w:vertAlign w:val="superscript"/>
        </w:rPr>
        <w:t>th</w:t>
      </w:r>
      <w:r w:rsidR="00455C4E">
        <w:rPr>
          <w:rFonts w:ascii="VPBank" w:hAnsi="VPBank"/>
        </w:rPr>
        <w:t xml:space="preserve"> Floor</w:t>
      </w:r>
      <w:r w:rsidRPr="00374A9D">
        <w:rPr>
          <w:rFonts w:ascii="VPBank" w:hAnsi="VPBank"/>
        </w:rPr>
        <w:t xml:space="preserve">, </w:t>
      </w:r>
      <w:proofErr w:type="spellStart"/>
      <w:proofErr w:type="gramStart"/>
      <w:r w:rsidRPr="00374A9D">
        <w:rPr>
          <w:rFonts w:ascii="VPBank" w:hAnsi="VPBank"/>
        </w:rPr>
        <w:t>E.To</w:t>
      </w:r>
      <w:bookmarkStart w:id="0" w:name="_GoBack"/>
      <w:bookmarkEnd w:id="0"/>
      <w:r w:rsidRPr="00374A9D">
        <w:rPr>
          <w:rFonts w:ascii="VPBank" w:hAnsi="VPBank"/>
        </w:rPr>
        <w:t>wn</w:t>
      </w:r>
      <w:proofErr w:type="spellEnd"/>
      <w:proofErr w:type="gramEnd"/>
      <w:r w:rsidRPr="00374A9D">
        <w:rPr>
          <w:rFonts w:ascii="VPBank" w:hAnsi="VPBank"/>
        </w:rPr>
        <w:t xml:space="preserve"> Central</w:t>
      </w:r>
      <w:r w:rsidR="00455C4E">
        <w:rPr>
          <w:rFonts w:ascii="VPBank" w:hAnsi="VPBank"/>
        </w:rPr>
        <w:t xml:space="preserve"> Building</w:t>
      </w:r>
      <w:r w:rsidRPr="00374A9D">
        <w:rPr>
          <w:rFonts w:ascii="VPBank" w:hAnsi="VPBank"/>
        </w:rPr>
        <w:t xml:space="preserve">, 11 </w:t>
      </w:r>
      <w:r w:rsidR="00455C4E">
        <w:rPr>
          <w:rFonts w:ascii="VPBank" w:hAnsi="VPBank"/>
        </w:rPr>
        <w:t>Doan Van Bo Street, W. 12, D</w:t>
      </w:r>
      <w:r w:rsidRPr="00374A9D">
        <w:rPr>
          <w:rFonts w:ascii="VPBank" w:hAnsi="VPBank"/>
        </w:rPr>
        <w:t>. 4, HCM</w:t>
      </w:r>
      <w:r w:rsidR="00455C4E">
        <w:rPr>
          <w:rFonts w:ascii="VPBank" w:hAnsi="VPBank"/>
        </w:rPr>
        <w:t>C</w:t>
      </w:r>
    </w:p>
    <w:p w:rsidR="00374A9D" w:rsidRPr="00374A9D" w:rsidRDefault="00374A9D" w:rsidP="00374A9D">
      <w:pPr>
        <w:autoSpaceDE w:val="0"/>
        <w:autoSpaceDN w:val="0"/>
        <w:adjustRightInd w:val="0"/>
        <w:jc w:val="both"/>
        <w:rPr>
          <w:rFonts w:ascii="VPBank" w:hAnsi="VPBank"/>
        </w:rPr>
      </w:pPr>
      <w:r w:rsidRPr="00374A9D">
        <w:rPr>
          <w:rFonts w:ascii="VPBank" w:hAnsi="VPBank"/>
        </w:rPr>
        <w:t>Email: treasury@fecredit.com.vn</w:t>
      </w:r>
    </w:p>
    <w:p w:rsidR="00374A9D" w:rsidRPr="00374A9D" w:rsidRDefault="00374A9D" w:rsidP="00374A9D">
      <w:pPr>
        <w:autoSpaceDE w:val="0"/>
        <w:autoSpaceDN w:val="0"/>
        <w:adjustRightInd w:val="0"/>
        <w:jc w:val="both"/>
        <w:rPr>
          <w:rFonts w:ascii="VPBank" w:hAnsi="VPBank"/>
        </w:rPr>
      </w:pPr>
      <w:r w:rsidRPr="00374A9D">
        <w:rPr>
          <w:rFonts w:ascii="VPBank" w:hAnsi="VPBank"/>
        </w:rPr>
        <w:t xml:space="preserve">Website: </w:t>
      </w:r>
      <w:r w:rsidR="00455C4E" w:rsidRPr="00455C4E">
        <w:rPr>
          <w:rFonts w:ascii="VPBank" w:hAnsi="VPBank"/>
        </w:rPr>
        <w:t>https://fecredit.com.vn/en/for-investors/</w:t>
      </w:r>
    </w:p>
    <w:p w:rsidR="00374A9D" w:rsidRPr="00374A9D" w:rsidRDefault="00374A9D" w:rsidP="00374A9D">
      <w:pPr>
        <w:autoSpaceDE w:val="0"/>
        <w:autoSpaceDN w:val="0"/>
        <w:adjustRightInd w:val="0"/>
        <w:jc w:val="both"/>
        <w:rPr>
          <w:rFonts w:ascii="VPBank" w:hAnsi="VPBank"/>
        </w:rPr>
      </w:pPr>
      <w:r w:rsidRPr="00374A9D">
        <w:rPr>
          <w:rFonts w:ascii="VPBank" w:hAnsi="VPBank"/>
        </w:rPr>
        <w:t>Tel: (0</w:t>
      </w:r>
      <w:r>
        <w:rPr>
          <w:rFonts w:ascii="VPBank" w:hAnsi="VPBank"/>
        </w:rPr>
        <w:t>2</w:t>
      </w:r>
      <w:r w:rsidRPr="00374A9D">
        <w:rPr>
          <w:rFonts w:ascii="VPBank" w:hAnsi="VPBank"/>
        </w:rPr>
        <w:t>8) 39 115 212</w:t>
      </w:r>
    </w:p>
    <w:sectPr w:rsidR="00374A9D" w:rsidRPr="00374A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DIN">
    <w:altName w:val="DIN"/>
    <w:panose1 w:val="00000000000000000000"/>
    <w:charset w:val="A3"/>
    <w:family w:val="swiss"/>
    <w:notTrueType/>
    <w:pitch w:val="default"/>
    <w:sig w:usb0="00000003" w:usb1="00000000" w:usb2="00000000" w:usb3="00000000" w:csb0="00000101" w:csb1="00000000"/>
  </w:font>
  <w:font w:name="VPBank">
    <w:altName w:val="VPBank"/>
    <w:panose1 w:val="02040603050506020204"/>
    <w:charset w:val="00"/>
    <w:family w:val="roman"/>
    <w:pitch w:val="variable"/>
    <w:sig w:usb0="A000000F" w:usb1="0000004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4BE"/>
    <w:rsid w:val="0011452E"/>
    <w:rsid w:val="0032012A"/>
    <w:rsid w:val="00374A9D"/>
    <w:rsid w:val="003E114B"/>
    <w:rsid w:val="00455C4E"/>
    <w:rsid w:val="004E0ED4"/>
    <w:rsid w:val="005911D9"/>
    <w:rsid w:val="007D7413"/>
    <w:rsid w:val="0082454F"/>
    <w:rsid w:val="0083523A"/>
    <w:rsid w:val="00906A5E"/>
    <w:rsid w:val="00B40AB3"/>
    <w:rsid w:val="00B61DAC"/>
    <w:rsid w:val="00DC04BE"/>
    <w:rsid w:val="00E4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8112C"/>
  <w15:chartTrackingRefBased/>
  <w15:docId w15:val="{65B81BA9-06E0-48F2-B609-3E213E17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4B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E114B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3E114B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customStyle="1" w:styleId="Default">
    <w:name w:val="Default"/>
    <w:rsid w:val="0083523A"/>
    <w:pPr>
      <w:autoSpaceDE w:val="0"/>
      <w:autoSpaceDN w:val="0"/>
      <w:adjustRightInd w:val="0"/>
      <w:spacing w:after="0" w:line="240" w:lineRule="auto"/>
    </w:pPr>
    <w:rPr>
      <w:rFonts w:ascii="DIN" w:hAnsi="DIN" w:cs="DIN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83523A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83523A"/>
    <w:rPr>
      <w:rFonts w:cs="DIN"/>
      <w:b/>
      <w:bCs/>
      <w:color w:val="000000"/>
      <w:sz w:val="40"/>
      <w:szCs w:val="40"/>
    </w:rPr>
  </w:style>
  <w:style w:type="character" w:customStyle="1" w:styleId="A9">
    <w:name w:val="A9"/>
    <w:uiPriority w:val="99"/>
    <w:rsid w:val="0083523A"/>
    <w:rPr>
      <w:rFonts w:cs="DIN"/>
      <w:b/>
      <w:bCs/>
      <w:color w:val="000000"/>
      <w:sz w:val="32"/>
      <w:szCs w:val="32"/>
    </w:rPr>
  </w:style>
  <w:style w:type="paragraph" w:customStyle="1" w:styleId="Pa1">
    <w:name w:val="Pa1"/>
    <w:basedOn w:val="Default"/>
    <w:next w:val="Default"/>
    <w:uiPriority w:val="99"/>
    <w:rsid w:val="0083523A"/>
    <w:pPr>
      <w:spacing w:line="24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83523A"/>
    <w:pPr>
      <w:spacing w:line="24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83523A"/>
    <w:rPr>
      <w:rFonts w:cs="DIN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74A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Binh Le Thanh</dc:creator>
  <cp:keywords/>
  <dc:description/>
  <cp:lastModifiedBy>Phuong Nguyen Hoang</cp:lastModifiedBy>
  <cp:revision>6</cp:revision>
  <dcterms:created xsi:type="dcterms:W3CDTF">2018-08-07T04:11:00Z</dcterms:created>
  <dcterms:modified xsi:type="dcterms:W3CDTF">2018-08-07T04:23:00Z</dcterms:modified>
</cp:coreProperties>
</file>